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C6" w:rsidRDefault="009730C6" w:rsidP="009730C6">
      <w:pPr>
        <w:pStyle w:val="NormaleWeb"/>
      </w:pPr>
      <w:r>
        <w:rPr>
          <w:rStyle w:val="Enfasigrassetto"/>
        </w:rPr>
        <w:t>Legge 30 luglio 2010, n. 122</w:t>
      </w:r>
    </w:p>
    <w:p w:rsidR="009730C6" w:rsidRDefault="009730C6" w:rsidP="009730C6">
      <w:pPr>
        <w:pStyle w:val="NormaleWeb"/>
      </w:pPr>
      <w:r>
        <w:t>“</w:t>
      </w:r>
      <w:r>
        <w:rPr>
          <w:rStyle w:val="Enfasicorsivo"/>
        </w:rPr>
        <w:t>Conversione in legge, con modificazioni, del decreto-legge 31 maggio 2010, n. 78, recante misure urgenti in materia di stabilizzazione finanziaria e di competitività economica.”</w:t>
      </w:r>
    </w:p>
    <w:p w:rsidR="009730C6" w:rsidRDefault="009730C6" w:rsidP="009730C6">
      <w:pPr>
        <w:pStyle w:val="NormaleWeb"/>
      </w:pPr>
      <w:r>
        <w:t> </w:t>
      </w:r>
    </w:p>
    <w:p w:rsidR="009730C6" w:rsidRDefault="009730C6" w:rsidP="009730C6">
      <w:pPr>
        <w:pStyle w:val="NormaleWeb"/>
      </w:pPr>
      <w:r>
        <w:rPr>
          <w:rStyle w:val="Enfasicorsivo"/>
        </w:rPr>
        <w:t>(Pubblicata nel Supplemento Ordinario n. 174 alla Gazzetta Ufficiale 30 luglio 2010, n. 176)</w:t>
      </w:r>
    </w:p>
    <w:p w:rsidR="009730C6" w:rsidRDefault="009730C6" w:rsidP="009730C6">
      <w:pPr>
        <w:pStyle w:val="NormaleWeb"/>
      </w:pPr>
      <w:r>
        <w:t> </w:t>
      </w:r>
    </w:p>
    <w:p w:rsidR="009730C6" w:rsidRDefault="009730C6" w:rsidP="009730C6">
      <w:pPr>
        <w:pStyle w:val="NormaleWeb"/>
      </w:pPr>
      <w:r>
        <w:rPr>
          <w:rStyle w:val="Enfasicorsivo"/>
        </w:rPr>
        <w:t>(omissis)</w:t>
      </w:r>
    </w:p>
    <w:p w:rsidR="009730C6" w:rsidRDefault="009730C6" w:rsidP="009730C6">
      <w:pPr>
        <w:pStyle w:val="NormaleWeb"/>
        <w:jc w:val="center"/>
      </w:pPr>
      <w:r>
        <w:t> </w:t>
      </w:r>
    </w:p>
    <w:p w:rsidR="009730C6" w:rsidRDefault="009730C6" w:rsidP="009730C6">
      <w:pPr>
        <w:pStyle w:val="NormaleWeb"/>
        <w:jc w:val="center"/>
      </w:pPr>
      <w:r>
        <w:t>Capo III</w:t>
      </w:r>
    </w:p>
    <w:p w:rsidR="009730C6" w:rsidRDefault="009730C6" w:rsidP="009730C6">
      <w:pPr>
        <w:pStyle w:val="NormaleWeb"/>
        <w:jc w:val="center"/>
      </w:pPr>
      <w:r>
        <w:t>Contenimento delle spese in materia di impiego pubblico, invalidità e previdenza</w:t>
      </w:r>
    </w:p>
    <w:p w:rsidR="009730C6" w:rsidRDefault="009730C6" w:rsidP="009730C6">
      <w:pPr>
        <w:pStyle w:val="NormaleWeb"/>
      </w:pPr>
      <w:r>
        <w:t> </w:t>
      </w:r>
    </w:p>
    <w:p w:rsidR="009730C6" w:rsidRDefault="009730C6" w:rsidP="009730C6">
      <w:pPr>
        <w:pStyle w:val="NormaleWeb"/>
        <w:jc w:val="center"/>
      </w:pPr>
      <w:bookmarkStart w:id="0" w:name="a10"/>
      <w:bookmarkEnd w:id="0"/>
      <w:r>
        <w:rPr>
          <w:rStyle w:val="Enfasigrassetto"/>
        </w:rPr>
        <w:t xml:space="preserve">Art. 10 </w:t>
      </w:r>
    </w:p>
    <w:p w:rsidR="009730C6" w:rsidRDefault="009730C6" w:rsidP="009730C6">
      <w:pPr>
        <w:pStyle w:val="NormaleWeb"/>
        <w:jc w:val="center"/>
      </w:pPr>
      <w:r>
        <w:rPr>
          <w:rStyle w:val="Enfasigrassetto"/>
        </w:rPr>
        <w:t>Riduzione della spesa in materia di invalidità</w:t>
      </w:r>
    </w:p>
    <w:p w:rsidR="009730C6" w:rsidRDefault="009730C6" w:rsidP="009730C6">
      <w:pPr>
        <w:pStyle w:val="NormaleWeb"/>
      </w:pPr>
      <w:r>
        <w:t> </w:t>
      </w:r>
    </w:p>
    <w:p w:rsidR="009730C6" w:rsidRDefault="009730C6" w:rsidP="009730C6">
      <w:pPr>
        <w:pStyle w:val="NormaleWeb"/>
      </w:pPr>
      <w:r>
        <w:t>1.</w:t>
      </w:r>
      <w:r>
        <w:rPr>
          <w:rStyle w:val="Enfasicorsivo"/>
        </w:rPr>
        <w:t xml:space="preserve"> (1) </w:t>
      </w:r>
    </w:p>
    <w:p w:rsidR="009730C6" w:rsidRDefault="009730C6" w:rsidP="009730C6">
      <w:pPr>
        <w:pStyle w:val="NormaleWeb"/>
      </w:pPr>
      <w:r>
        <w:t xml:space="preserve">2. Alle prestazioni di invalidità civile, cecità civile, sordità civile, handicap e disabilità </w:t>
      </w:r>
      <w:proofErr w:type="spellStart"/>
      <w:r>
        <w:t>nonche'</w:t>
      </w:r>
      <w:proofErr w:type="spellEnd"/>
      <w:r>
        <w:t xml:space="preserve"> alle prestazioni di invalidità a carattere previdenziale erogate dall’I.N.P.S. Si applicano, limitatamente alle risultanze degli accertamenti di natura medico-legale, le disposizioni dell'articolo 9 del decreto legislativo 23 febbraio 2000, n. 38 e dell'articolo 55, comma 5, della legge 9 marzo 1989, n. 88.</w:t>
      </w:r>
    </w:p>
    <w:p w:rsidR="009730C6" w:rsidRDefault="009730C6" w:rsidP="009730C6">
      <w:pPr>
        <w:pStyle w:val="NormaleWeb"/>
      </w:pPr>
      <w:r>
        <w:t xml:space="preserve">3. Fermo quanto previsto dal codice penale, agli esercenti una professione sanitaria che intenzionalmente attestano falsamente uno stato di malattia o di handicap, cui consegua il pagamento di trattamenti economici di invalidità civile, cecità civile, sordità civile, handicap e disabilità successivamente revocati ai sensi dell'articolo 5, comma 5, del </w:t>
      </w:r>
      <w:hyperlink r:id="rId4" w:anchor="a5" w:history="1">
        <w:r>
          <w:rPr>
            <w:rStyle w:val="Collegamentoipertestuale"/>
          </w:rPr>
          <w:t xml:space="preserve">decreto del Presidente della Repubblica 21 settembre 1994, n. 698 </w:t>
        </w:r>
      </w:hyperlink>
      <w:r>
        <w:t xml:space="preserve">per accertata insussistenza dei prescritti requisiti sanitari, si applicano le disposizioni di cui al comma 1 dell'articolo 55-quinquies del decreto legislativo 30 marzo 2001, n. 165 e successive modificazioni. Nei casi di cui al presente comma il medico, ferme la responsabilità penale e disciplinare e le relative sanzioni, e' obbligato a risarcire il danno patrimoniale, pari al compenso corrisposto a titolo di trattamenti economici di invalidità civile, cecità civile, sordità civile, handicap e disabilità nei periodi per i quali sia accertato il godimento da parte del relativo beneficiario, </w:t>
      </w:r>
      <w:proofErr w:type="spellStart"/>
      <w:r>
        <w:t>nonchè</w:t>
      </w:r>
      <w:proofErr w:type="spellEnd"/>
      <w:r>
        <w:t xml:space="preserve"> il danno all'immagine subiti dall'amministrazione. Gli organi competenti alla revoca sono tenuti ad inviare copia del provvedimento alla Corte dei conti per eventuali azioni di responsabilità. Sono altresì estese le sanzioni disciplinari di cui al comma 3 dell'articolo 55-quinquies del decreto legislativo 30 marzo 2001, n. 165 e successive modificazioni.</w:t>
      </w:r>
    </w:p>
    <w:p w:rsidR="009730C6" w:rsidRDefault="009730C6" w:rsidP="009730C6">
      <w:pPr>
        <w:pStyle w:val="NormaleWeb"/>
      </w:pPr>
      <w:r>
        <w:lastRenderedPageBreak/>
        <w:t xml:space="preserve">4. Al fine di proseguire anche per gli anni 2011 e 2012 nel potenziamento dei programmi di verifica del possesso dei requisiti per i percettori di prestazioni di invalidità civile nel contesto della complessiva revisione delle procedure in materia stabilita dall'articolo 20 del decreto-legge 1° luglio 2009, n. 78, convertito, con modificazioni, dalla </w:t>
      </w:r>
      <w:hyperlink r:id="rId5" w:anchor="a20" w:history="1">
        <w:r>
          <w:rPr>
            <w:rStyle w:val="Collegamentoipertestuale"/>
          </w:rPr>
          <w:t>legge 3 agosto 2009, n. 102,</w:t>
        </w:r>
      </w:hyperlink>
      <w:r>
        <w:t xml:space="preserve"> al comma 2 dello stesso articolo 20 l'ultimo periodo è così modificato: «</w:t>
      </w:r>
      <w:r>
        <w:rPr>
          <w:rStyle w:val="Enfasicorsivo"/>
        </w:rPr>
        <w:t>Per il triennio 2010-2012 l'INPS effettua, con le risorse umane e finanziarie previste a legislazione vigente, in via aggiuntiva all'ordinaria attività di accertamento della permanenza dei requisiti sanitari e reddituali, un programma di 100.000 verifiche per l'anno 2010 e di 250.000 verifiche annue per ciascuno degli anni 2011 e 2012 nei confronti dei titolari di benefici economici di invalidità civile</w:t>
      </w:r>
      <w:r>
        <w:t>.».</w:t>
      </w:r>
    </w:p>
    <w:p w:rsidR="009730C6" w:rsidRDefault="009730C6" w:rsidP="009730C6">
      <w:pPr>
        <w:pStyle w:val="NormaleWeb"/>
      </w:pPr>
      <w:r>
        <w:t xml:space="preserve">4-bis. Nell'ambito dei piani straordinari di accertamenti di verifica nei confronti dei titolari di trattamenti economici di invalidità civile previsti dalle vigenti leggi, l'INPS e' autorizzato, d'intesa con le regioni, ad avvalersi delle commissioni mediche delle aziende sanitarie locali, nella composizione integrata da un medico INPS, quale componente effettivo ai sensi dell'articolo 20 del decreto-legge 1° luglio 2009, n. 78, convertito, con modificazioni, dalla </w:t>
      </w:r>
      <w:hyperlink r:id="rId6" w:anchor="a20" w:history="1">
        <w:r>
          <w:rPr>
            <w:rStyle w:val="Collegamentoipertestuale"/>
          </w:rPr>
          <w:t>legge 3 agosto 2009, n. 102</w:t>
        </w:r>
      </w:hyperlink>
      <w:r>
        <w:t xml:space="preserve">. </w:t>
      </w:r>
      <w:r>
        <w:rPr>
          <w:rStyle w:val="Enfasicorsivo"/>
        </w:rPr>
        <w:t>(2)</w:t>
      </w:r>
    </w:p>
    <w:p w:rsidR="009730C6" w:rsidRDefault="009730C6" w:rsidP="009730C6">
      <w:pPr>
        <w:pStyle w:val="NormaleWeb"/>
      </w:pPr>
      <w:r>
        <w:t xml:space="preserve">5. La sussistenza della condizione di alunno in situazione di handicap di cui all'articolo 3, comma 1, della </w:t>
      </w:r>
      <w:hyperlink r:id="rId7" w:anchor="a3" w:history="1">
        <w:r>
          <w:rPr>
            <w:rStyle w:val="Collegamentoipertestuale"/>
          </w:rPr>
          <w:t>legge 5 febbraio 1992, n. 104</w:t>
        </w:r>
      </w:hyperlink>
      <w:r>
        <w:t xml:space="preserve">, è accertata dalle Aziende Sanitarie, mediante appositi accertamenti collegiali da effettuarsi in conformità a quanto previsto dagli </w:t>
      </w:r>
      <w:hyperlink r:id="rId8" w:anchor="a12" w:history="1">
        <w:r>
          <w:rPr>
            <w:rStyle w:val="Collegamentoipertestuale"/>
          </w:rPr>
          <w:t xml:space="preserve">articoli 12 </w:t>
        </w:r>
      </w:hyperlink>
      <w:r>
        <w:t xml:space="preserve">e </w:t>
      </w:r>
      <w:hyperlink r:id="rId9" w:anchor="a13" w:history="1">
        <w:r>
          <w:rPr>
            <w:rStyle w:val="Collegamentoipertestuale"/>
          </w:rPr>
          <w:t>13</w:t>
        </w:r>
      </w:hyperlink>
      <w:r>
        <w:t xml:space="preserve"> della medesima legge. Nel verbale che accerta la sussistenza della situazione di handicap, deve essere indicata la patologia stabilizzata o progressiva e specificato </w:t>
      </w:r>
      <w:r w:rsidRPr="002160B1">
        <w:rPr>
          <w:highlight w:val="yellow"/>
        </w:rPr>
        <w:t>l'eventuale carattere</w:t>
      </w:r>
      <w:r>
        <w:t xml:space="preserve"> di gravità, in presenza dei presupposti previsti </w:t>
      </w:r>
      <w:r w:rsidRPr="00086E1F">
        <w:rPr>
          <w:highlight w:val="yellow"/>
        </w:rPr>
        <w:t>dall'art. 3, comma 3, della legge 5 febbraio 1992, n. 104</w:t>
      </w:r>
      <w:r>
        <w:t>. A tal fine il collegio deve tener conto delle classificazioni internazionali dell'Organizzazione Mondiale della Sanità. I componenti del collegio che accerta la sussistenza della condizione di handicap sono responsabili di ogni eventuale danno erariale per il mancato rispetto di quanto previsto dall'articolo 3, commi 1 e 3, della legge 5 febbraio 1992, n. 104. I soggetti di cui all'</w:t>
      </w:r>
      <w:hyperlink r:id="rId10" w:anchor="a12" w:history="1">
        <w:r>
          <w:rPr>
            <w:rStyle w:val="Collegamentoipertestuale"/>
          </w:rPr>
          <w:t>articolo 12</w:t>
        </w:r>
      </w:hyperlink>
      <w:r>
        <w:t xml:space="preserve">, comma 5, della legge 5 febbraio 1992, n. 104 (GLH), in sede di formulazione del piano educativo individualizzato, elaborano proposte relative all'individuazione delle risorse necessarie, ivi compresa l'indicazione del numero delle ore di sostegno, che devono essere esclusivamente finalizzate all'educazione e all'istruzione, restando a carico degli altri soggetti istituzionali la fornitura delle altre risorse professionali e materiali necessarie per l'integrazione e l'assistenza dell'alunno disabile richieste dal </w:t>
      </w:r>
      <w:r>
        <w:rPr>
          <w:rStyle w:val="Enfasicorsivo"/>
        </w:rPr>
        <w:t> </w:t>
      </w:r>
      <w:r>
        <w:t>piano educativo individualizzato.</w:t>
      </w:r>
    </w:p>
    <w:p w:rsidR="009730C6" w:rsidRDefault="009730C6" w:rsidP="009730C6">
      <w:pPr>
        <w:pStyle w:val="NormaleWeb"/>
      </w:pPr>
      <w:r>
        <w:t> </w:t>
      </w:r>
    </w:p>
    <w:p w:rsidR="009730C6" w:rsidRDefault="009730C6" w:rsidP="009730C6">
      <w:pPr>
        <w:pStyle w:val="NormaleWeb"/>
      </w:pPr>
      <w:r>
        <w:rPr>
          <w:rStyle w:val="Enfasicorsivo"/>
        </w:rPr>
        <w:t>(1) comma soppresso in sede di conversione in legge.</w:t>
      </w:r>
    </w:p>
    <w:p w:rsidR="009730C6" w:rsidRDefault="009730C6" w:rsidP="009730C6">
      <w:pPr>
        <w:pStyle w:val="NormaleWeb"/>
      </w:pPr>
      <w:r>
        <w:rPr>
          <w:rStyle w:val="Enfasicorsivo"/>
        </w:rPr>
        <w:t>(2) comma aggiunto in sede di conversione in legge.</w:t>
      </w:r>
    </w:p>
    <w:p w:rsidR="00383CAC" w:rsidRDefault="00383CAC"/>
    <w:sectPr w:rsidR="00383CAC" w:rsidSect="00383CA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730C6"/>
    <w:rsid w:val="00086E1F"/>
    <w:rsid w:val="002160B1"/>
    <w:rsid w:val="00383CAC"/>
    <w:rsid w:val="00875224"/>
    <w:rsid w:val="009730C6"/>
    <w:rsid w:val="00A42C67"/>
    <w:rsid w:val="00A45651"/>
    <w:rsid w:val="00FA4F5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3CA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730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730C6"/>
    <w:rPr>
      <w:b/>
      <w:bCs/>
    </w:rPr>
  </w:style>
  <w:style w:type="character" w:styleId="Enfasicorsivo">
    <w:name w:val="Emphasis"/>
    <w:basedOn w:val="Carpredefinitoparagrafo"/>
    <w:uiPriority w:val="20"/>
    <w:qFormat/>
    <w:rsid w:val="009730C6"/>
    <w:rPr>
      <w:i/>
      <w:iCs/>
    </w:rPr>
  </w:style>
  <w:style w:type="character" w:styleId="Collegamentoipertestuale">
    <w:name w:val="Hyperlink"/>
    <w:basedOn w:val="Carpredefinitoparagrafo"/>
    <w:uiPriority w:val="99"/>
    <w:semiHidden/>
    <w:unhideWhenUsed/>
    <w:rsid w:val="009730C6"/>
    <w:rPr>
      <w:color w:val="0000FF"/>
      <w:u w:val="single"/>
    </w:rPr>
  </w:style>
</w:styles>
</file>

<file path=word/webSettings.xml><?xml version="1.0" encoding="utf-8"?>
<w:webSettings xmlns:r="http://schemas.openxmlformats.org/officeDocument/2006/relationships" xmlns:w="http://schemas.openxmlformats.org/wordprocessingml/2006/main">
  <w:divs>
    <w:div w:id="167930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ndylex.org/stato/l050292.shtml" TargetMode="External"/><Relationship Id="rId3" Type="http://schemas.openxmlformats.org/officeDocument/2006/relationships/webSettings" Target="webSettings.xml"/><Relationship Id="rId7" Type="http://schemas.openxmlformats.org/officeDocument/2006/relationships/hyperlink" Target="http://www.handylex.org/stato/l050292.s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ndylex.org/stato/l030809.shtml" TargetMode="External"/><Relationship Id="rId11" Type="http://schemas.openxmlformats.org/officeDocument/2006/relationships/fontTable" Target="fontTable.xml"/><Relationship Id="rId5" Type="http://schemas.openxmlformats.org/officeDocument/2006/relationships/hyperlink" Target="http://www.handylex.org/stato/l030809.shtml" TargetMode="External"/><Relationship Id="rId10" Type="http://schemas.openxmlformats.org/officeDocument/2006/relationships/hyperlink" Target="http://www.handylex.org/stato/l050292.shtml" TargetMode="External"/><Relationship Id="rId4" Type="http://schemas.openxmlformats.org/officeDocument/2006/relationships/hyperlink" Target="http://www.handylex.org/stato/d210994.shtml" TargetMode="External"/><Relationship Id="rId9" Type="http://schemas.openxmlformats.org/officeDocument/2006/relationships/hyperlink" Target="http://www.handylex.org/stato/l050292.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858</Words>
  <Characters>4892</Characters>
  <Application>Microsoft Office Word</Application>
  <DocSecurity>0</DocSecurity>
  <Lines>40</Lines>
  <Paragraphs>11</Paragraphs>
  <ScaleCrop>false</ScaleCrop>
  <Company>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2016-02-21T09:34:00Z</dcterms:created>
  <dcterms:modified xsi:type="dcterms:W3CDTF">2016-02-21T20:12:00Z</dcterms:modified>
</cp:coreProperties>
</file>